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Beckwith Van H.</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HALLIBURTON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20" w:type="dxa"/>
            <w:vAlign w:val="bottom"/>
            <w:tcBorders>
              <w:top w:val="single" w:sz="8" w:color="0000EE"/>
            </w:tcBorders>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00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05/15/2026</w:t>
            </w: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7"/>
          <w:szCs w:val="17"/>
          <w:color w:val="0000FF"/>
        </w:rPr>
        <w:t>EVP, Secretary and CLO</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198,349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146,186.49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was effected pursuant to a Rule 10b5-l trading plan adopted by the Reporting Person on August 13,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$41.15 to $41.38, inclusive. The Reporting Person undertakes to provide to Halliburton Company, any security holder of Halliburton Company, or the staff of the Securities and Exchange Commission, upon request, full information regarding the number of shares sold at each separate price within the ranges set forth in footnote (2)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Sarah I. Rubenfeld,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2674" TargetMode="External"/><Relationship Id="rId14" Type="http://schemas.openxmlformats.org/officeDocument/2006/relationships/hyperlink" Target="http://www.sec.gov/cgi-bin/browse-edgar?action=getcompany&amp;CIK=00000450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2026-05-18T14:37:18Z</dcterms:created>
  <dcterms:modified xsi:type="dcterms:W3CDTF">2026-05-18T14:37:18Z</dcterms:modified>
</cp:coreProperties>
</file>