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2"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right="14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-220345</wp:posOffset>
            </wp:positionV>
            <wp:extent cx="118110" cy="1181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1" w:lineRule="exact"/>
        <w:rPr>
          <w:sz w:val="24"/>
          <w:szCs w:val="24"/>
          <w:color w:val="auto"/>
        </w:rPr>
      </w:pPr>
    </w:p>
    <w:p>
      <w:pPr>
        <w:ind w:left="340"/>
        <w:spacing w:after="0" w:line="241"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-556260</wp:posOffset>
            </wp:positionV>
            <wp:extent cx="118110" cy="118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6160" w:type="dxa"/>
            <w:vAlign w:val="bottom"/>
          </w:tcPr>
          <w:p>
            <w:pPr>
              <w:jc w:val="center"/>
              <w:ind w:right="28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60" w:type="dxa"/>
            <w:vAlign w:val="bottom"/>
            <w:vMerge w:val="restart"/>
          </w:tcPr>
          <w:p>
            <w:pPr>
              <w:jc w:val="center"/>
              <w:ind w:right="300"/>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1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8"/>
        </w:trPr>
        <w:tc>
          <w:tcPr>
            <w:tcW w:w="6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280"/>
              <w:spacing w:after="0" w:line="178"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1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6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60" w:type="dxa"/>
            <w:vAlign w:val="bottom"/>
            <w:vMerge w:val="restart"/>
          </w:tcPr>
          <w:p>
            <w:pPr>
              <w:jc w:val="center"/>
              <w:ind w:right="30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6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5182870</wp:posOffset>
            </wp:positionH>
            <wp:positionV relativeFrom="paragraph">
              <wp:posOffset>-601345</wp:posOffset>
            </wp:positionV>
            <wp:extent cx="56515" cy="614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4680"/>
                    </a:xfrm>
                    <a:prstGeom prst="rect">
                      <a:avLst/>
                    </a:prstGeom>
                    <a:noFill/>
                  </pic:spPr>
                </pic:pic>
              </a:graphicData>
            </a:graphic>
          </wp:anchor>
        </w:drawing>
        <w:drawing>
          <wp:anchor simplePos="0" relativeHeight="251657728" behindDoc="1" locked="0" layoutInCell="0" allowOverlap="1">
            <wp:simplePos x="0" y="0"/>
            <wp:positionH relativeFrom="column">
              <wp:posOffset>3902710</wp:posOffset>
            </wp:positionH>
            <wp:positionV relativeFrom="paragraph">
              <wp:posOffset>-601345</wp:posOffset>
            </wp:positionV>
            <wp:extent cx="56515" cy="614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1468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-1727200</wp:posOffset>
            </wp:positionH>
            <wp:positionV relativeFrom="paragraph">
              <wp:posOffset>638175</wp:posOffset>
            </wp:positionV>
            <wp:extent cx="7049135" cy="56407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9135" cy="5640705"/>
                    </a:xfrm>
                    <a:prstGeom prst="rect">
                      <a:avLst/>
                    </a:prstGeom>
                    <a:noFill/>
                  </pic:spPr>
                </pic:pic>
              </a:graphicData>
            </a:graphic>
          </wp:anchor>
        </w:drawing>
      </w:r>
    </w:p>
    <w:p>
      <w:pPr>
        <w:spacing w:after="0" w:line="1075" w:lineRule="exact"/>
        <w:rPr>
          <w:sz w:val="24"/>
          <w:szCs w:val="24"/>
          <w:color w:val="auto"/>
        </w:rPr>
      </w:pPr>
    </w:p>
    <w:p>
      <w:pPr>
        <w:sectPr>
          <w:pgSz w:w="11900" w:h="16838" w:orient="portrait"/>
          <w:cols w:equalWidth="0" w:num="2">
            <w:col w:w="2300" w:space="400"/>
            <w:col w:w="8380"/>
          </w:cols>
          <w:pgMar w:left="460" w:top="213" w:right="359" w:bottom="1007"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Smith Maurice S</w:t>
        </w:r>
      </w:hyperlink>
    </w:p>
    <w:p>
      <w:pPr>
        <w:spacing w:after="0" w:line="28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3000 N. SAM HOUSTON PARKWAY 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8"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HALLIBURTON CO</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HAL</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4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06/30/2026</w:t>
      </w:r>
    </w:p>
    <w:p>
      <w:pPr>
        <w:spacing w:after="0" w:line="20" w:lineRule="exact"/>
        <w:rPr>
          <w:sz w:val="24"/>
          <w:szCs w:val="24"/>
          <w:color w:val="auto"/>
        </w:rPr>
      </w:pPr>
      <w:r>
        <w:rPr>
          <w:sz w:val="24"/>
          <w:szCs w:val="24"/>
          <w:color w:val="auto"/>
        </w:rPr>
        <w:br w:type="column"/>
      </w:r>
    </w:p>
    <w:p>
      <w:pPr>
        <w:ind w:left="-1" w:right="740" w:firstLine="1"/>
        <w:spacing w:after="0" w:line="281" w:lineRule="auto"/>
        <w:tabs>
          <w:tab w:leader="none" w:pos="137"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1"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72"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0"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493" w:lineRule="exact"/>
        <w:rPr>
          <w:sz w:val="24"/>
          <w:szCs w:val="24"/>
          <w:color w:val="auto"/>
        </w:rPr>
      </w:pPr>
    </w:p>
    <w:p>
      <w:pPr>
        <w:sectPr>
          <w:pgSz w:w="11900" w:h="16838" w:orient="portrait"/>
          <w:cols w:equalWidth="0" w:num="3">
            <w:col w:w="3180" w:space="720"/>
            <w:col w:w="3121" w:space="720"/>
            <w:col w:w="3339"/>
          </w:cols>
          <w:pgMar w:left="460" w:top="213" w:right="359" w:bottom="1007" w:gutter="0" w:footer="0" w:header="0"/>
          <w:type w:val="continuous"/>
        </w:sectPr>
      </w:pPr>
    </w:p>
    <w:p>
      <w:pPr>
        <w:spacing w:after="0" w:line="99"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0" w:type="dxa"/>
            <w:vAlign w:val="bottom"/>
            <w:gridSpan w:val="7"/>
          </w:tcPr>
          <w:p>
            <w:pPr>
              <w:jc w:val="center"/>
              <w:ind w:right="121"/>
              <w:spacing w:after="0"/>
              <w:rPr>
                <w:sz w:val="20"/>
                <w:szCs w:val="20"/>
                <w:color w:val="auto"/>
              </w:rPr>
            </w:pPr>
            <w:r>
              <w:rPr>
                <w:rFonts w:ascii="Arial" w:cs="Arial" w:eastAsia="Arial" w:hAnsi="Arial"/>
                <w:sz w:val="12"/>
                <w:szCs w:val="12"/>
                <w:color w:val="auto"/>
              </w:rPr>
              <w:t>4. If Amendment, Date of Original Filed (Month/Day/Year)</w:t>
            </w:r>
          </w:p>
        </w:tc>
        <w:tc>
          <w:tcPr>
            <w:tcW w:w="3720" w:type="dxa"/>
            <w:vAlign w:val="bottom"/>
            <w:gridSpan w:val="9"/>
          </w:tcPr>
          <w:p>
            <w:pPr>
              <w:ind w:left="38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HOUSTON</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TX</w:t>
            </w:r>
          </w:p>
        </w:tc>
        <w:tc>
          <w:tcPr>
            <w:tcW w:w="108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77032</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40" w:type="dxa"/>
            <w:vAlign w:val="bottom"/>
            <w:gridSpan w:val="4"/>
          </w:tcPr>
          <w:p>
            <w:pPr>
              <w:ind w:left="16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60" w:type="dxa"/>
            <w:vAlign w:val="bottom"/>
            <w:gridSpan w:val="7"/>
          </w:tcPr>
          <w:p>
            <w:pPr>
              <w:ind w:left="16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2"/>
                <w:szCs w:val="12"/>
                <w:color w:val="auto"/>
              </w:rPr>
              <w:t>(State)</w:t>
            </w:r>
          </w:p>
        </w:tc>
        <w:tc>
          <w:tcPr>
            <w:tcW w:w="1080" w:type="dxa"/>
            <w:vAlign w:val="bottom"/>
          </w:tcPr>
          <w:p>
            <w:pPr>
              <w:ind w:left="140"/>
              <w:spacing w:after="0"/>
              <w:rPr>
                <w:sz w:val="20"/>
                <w:szCs w:val="20"/>
                <w:color w:val="auto"/>
              </w:rPr>
            </w:pPr>
            <w:r>
              <w:rPr>
                <w:rFonts w:ascii="Arial" w:cs="Arial" w:eastAsia="Arial" w:hAnsi="Arial"/>
                <w:sz w:val="12"/>
                <w:szCs w:val="12"/>
                <w:color w:val="auto"/>
              </w:rPr>
              <w:t>(Zip)</w:t>
            </w: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gridSpan w:val="2"/>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80" w:type="dxa"/>
            <w:vAlign w:val="bottom"/>
            <w:tcBorders>
              <w:bottom w:val="single" w:sz="8" w:color="2C2C2C"/>
            </w:tcBorders>
            <w:gridSpan w:val="4"/>
          </w:tcPr>
          <w:p>
            <w:pPr>
              <w:spacing w:after="0"/>
              <w:rPr>
                <w:sz w:val="10"/>
                <w:szCs w:val="10"/>
                <w:color w:val="auto"/>
              </w:rPr>
            </w:pPr>
          </w:p>
        </w:tc>
        <w:tc>
          <w:tcPr>
            <w:tcW w:w="660" w:type="dxa"/>
            <w:vAlign w:val="bottom"/>
            <w:tcBorders>
              <w:bottom w:val="single" w:sz="8" w:color="2C2C2C"/>
            </w:tcBorders>
            <w:gridSpan w:val="2"/>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tcPr>
          <w:p>
            <w:pPr>
              <w:spacing w:after="0"/>
              <w:rPr>
                <w:sz w:val="21"/>
                <w:szCs w:val="21"/>
                <w:color w:val="auto"/>
              </w:rPr>
            </w:pPr>
          </w:p>
        </w:tc>
        <w:tc>
          <w:tcPr>
            <w:tcW w:w="6340" w:type="dxa"/>
            <w:vAlign w:val="bottom"/>
            <w:tcBorders>
              <w:top w:val="single" w:sz="8" w:color="2C2C2C"/>
            </w:tcBorders>
            <w:gridSpan w:val="12"/>
          </w:tcPr>
          <w:p>
            <w:pPr>
              <w:jc w:val="center"/>
              <w:ind w:right="144"/>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2400" w:type="dxa"/>
            <w:vAlign w:val="bottom"/>
            <w:tcBorders>
              <w:bottom w:val="single" w:sz="8" w:color="2C2C2C"/>
            </w:tcBorders>
            <w:gridSpan w:val="5"/>
          </w:tcPr>
          <w:p>
            <w:pPr>
              <w:spacing w:after="0"/>
              <w:rPr>
                <w:sz w:val="2"/>
                <w:szCs w:val="2"/>
                <w:color w:val="auto"/>
              </w:rPr>
            </w:pPr>
          </w:p>
        </w:tc>
        <w:tc>
          <w:tcPr>
            <w:tcW w:w="1900" w:type="dxa"/>
            <w:vAlign w:val="bottom"/>
            <w:tcBorders>
              <w:bottom w:val="single" w:sz="8" w:color="2C2C2C"/>
            </w:tcBorders>
            <w:gridSpan w:val="3"/>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0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900" w:type="dxa"/>
            <w:vAlign w:val="bottom"/>
            <w:gridSpan w:val="3"/>
          </w:tcPr>
          <w:p>
            <w:pPr>
              <w:ind w:left="980"/>
              <w:spacing w:after="0"/>
              <w:rPr>
                <w:sz w:val="20"/>
                <w:szCs w:val="20"/>
                <w:color w:val="auto"/>
              </w:rPr>
            </w:pPr>
            <w:r>
              <w:rPr>
                <w:rFonts w:ascii="Arial" w:cs="Arial" w:eastAsia="Arial" w:hAnsi="Arial"/>
                <w:sz w:val="11"/>
                <w:szCs w:val="11"/>
                <w:b w:val="1"/>
                <w:bCs w:val="1"/>
                <w:color w:val="auto"/>
              </w:rPr>
              <w:t>2. Transaction</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w w:val="98"/>
              </w:rPr>
              <w:t>2A. Deemed</w:t>
            </w:r>
          </w:p>
        </w:tc>
        <w:tc>
          <w:tcPr>
            <w:tcW w:w="280" w:type="dxa"/>
            <w:vAlign w:val="bottom"/>
          </w:tcPr>
          <w:p>
            <w:pPr>
              <w:spacing w:after="0"/>
              <w:rPr>
                <w:sz w:val="14"/>
                <w:szCs w:val="14"/>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4"/>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00" w:type="dxa"/>
            <w:vAlign w:val="bottom"/>
            <w:gridSpan w:val="3"/>
          </w:tcPr>
          <w:p>
            <w:pPr>
              <w:ind w:left="98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9"/>
              </w:rPr>
              <w:t>Transaction</w:t>
            </w:r>
          </w:p>
        </w:tc>
        <w:tc>
          <w:tcPr>
            <w:tcW w:w="2000" w:type="dxa"/>
            <w:vAlign w:val="bottom"/>
            <w:gridSpan w:val="4"/>
          </w:tcPr>
          <w:p>
            <w:pPr>
              <w:ind w:left="12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00" w:type="dxa"/>
            <w:vAlign w:val="bottom"/>
            <w:gridSpan w:val="3"/>
          </w:tcPr>
          <w:p>
            <w:pPr>
              <w:ind w:left="980"/>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76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4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76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8)</w:t>
            </w: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56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gridSpan w:val="3"/>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300"/>
              <w:spacing w:after="0" w:line="124" w:lineRule="exact"/>
              <w:rPr>
                <w:sz w:val="20"/>
                <w:szCs w:val="20"/>
                <w:color w:val="auto"/>
              </w:rPr>
            </w:pPr>
            <w:r>
              <w:rPr>
                <w:rFonts w:ascii="Arial" w:cs="Arial" w:eastAsia="Arial" w:hAnsi="Arial"/>
                <w:sz w:val="11"/>
                <w:szCs w:val="11"/>
                <w:b w:val="1"/>
                <w:bCs w:val="1"/>
                <w:color w:val="auto"/>
              </w:rPr>
              <w:t>(A) or</w:t>
            </w:r>
          </w:p>
        </w:tc>
        <w:tc>
          <w:tcPr>
            <w:tcW w:w="76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6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restart"/>
          </w:tcPr>
          <w:p>
            <w:pPr>
              <w:ind w:left="30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3000" w:type="dxa"/>
            <w:vAlign w:val="bottom"/>
            <w:tcBorders>
              <w:bottom w:val="single" w:sz="8" w:color="2C2C2C"/>
            </w:tcBorders>
            <w:gridSpan w:val="6"/>
          </w:tcPr>
          <w:p>
            <w:pPr>
              <w:spacing w:after="0"/>
              <w:rPr>
                <w:sz w:val="6"/>
                <w:szCs w:val="6"/>
                <w:color w:val="auto"/>
              </w:rPr>
            </w:pPr>
          </w:p>
        </w:tc>
        <w:tc>
          <w:tcPr>
            <w:tcW w:w="2680" w:type="dxa"/>
            <w:vAlign w:val="bottom"/>
            <w:tcBorders>
              <w:bottom w:val="single" w:sz="8" w:color="2C2C2C"/>
            </w:tcBorders>
            <w:gridSpan w:val="4"/>
          </w:tcPr>
          <w:p>
            <w:pPr>
              <w:spacing w:after="0"/>
              <w:rPr>
                <w:sz w:val="6"/>
                <w:szCs w:val="6"/>
                <w:color w:val="auto"/>
              </w:rPr>
            </w:pPr>
          </w:p>
        </w:tc>
        <w:tc>
          <w:tcPr>
            <w:tcW w:w="660" w:type="dxa"/>
            <w:vAlign w:val="bottom"/>
            <w:tcBorders>
              <w:bottom w:val="single" w:sz="8" w:color="2C2C2C"/>
            </w:tcBorders>
            <w:gridSpan w:val="2"/>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120" w:type="dxa"/>
            <w:vAlign w:val="bottom"/>
            <w:tcBorders>
              <w:top w:val="single" w:sz="8" w:color="2C2C2C"/>
            </w:tcBorders>
          </w:tcPr>
          <w:p>
            <w:pPr>
              <w:spacing w:after="0"/>
              <w:rPr>
                <w:sz w:val="17"/>
                <w:szCs w:val="17"/>
                <w:color w:val="auto"/>
              </w:rPr>
            </w:pPr>
          </w:p>
        </w:tc>
        <w:tc>
          <w:tcPr>
            <w:tcW w:w="1000" w:type="dxa"/>
            <w:vAlign w:val="bottom"/>
            <w:tcBorders>
              <w:top w:val="single" w:sz="8" w:color="2C2C2C"/>
            </w:tcBorders>
          </w:tcPr>
          <w:p>
            <w:pPr>
              <w:spacing w:after="0"/>
              <w:rPr>
                <w:sz w:val="17"/>
                <w:szCs w:val="17"/>
                <w:color w:val="auto"/>
              </w:rPr>
            </w:pPr>
          </w:p>
        </w:tc>
        <w:tc>
          <w:tcPr>
            <w:tcW w:w="6340" w:type="dxa"/>
            <w:vAlign w:val="bottom"/>
            <w:tcBorders>
              <w:top w:val="single" w:sz="8" w:color="2C2C2C"/>
            </w:tcBorders>
            <w:gridSpan w:val="12"/>
          </w:tcPr>
          <w:p>
            <w:pPr>
              <w:ind w:left="2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7"/>
                <w:szCs w:val="17"/>
                <w:color w:val="auto"/>
              </w:rPr>
            </w:pPr>
          </w:p>
        </w:tc>
        <w:tc>
          <w:tcPr>
            <w:tcW w:w="34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700" w:type="dxa"/>
            <w:vAlign w:val="bottom"/>
            <w:gridSpan w:val="11"/>
          </w:tcPr>
          <w:p>
            <w:pPr>
              <w:ind w:left="9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1380" w:type="dxa"/>
            <w:vAlign w:val="bottom"/>
            <w:tcBorders>
              <w:bottom w:val="single" w:sz="8" w:color="2C2C2C"/>
            </w:tcBorders>
            <w:gridSpan w:val="3"/>
          </w:tcPr>
          <w:p>
            <w:pPr>
              <w:spacing w:after="0"/>
              <w:rPr>
                <w:sz w:val="2"/>
                <w:szCs w:val="2"/>
                <w:color w:val="auto"/>
              </w:rPr>
            </w:pPr>
          </w:p>
        </w:tc>
        <w:tc>
          <w:tcPr>
            <w:tcW w:w="136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100"/>
              <w:spacing w:after="0"/>
              <w:rPr>
                <w:sz w:val="20"/>
                <w:szCs w:val="20"/>
                <w:color w:val="auto"/>
              </w:rPr>
            </w:pPr>
            <w:r>
              <w:rPr>
                <w:rFonts w:ascii="Arial" w:cs="Arial" w:eastAsia="Arial" w:hAnsi="Arial"/>
                <w:sz w:val="11"/>
                <w:szCs w:val="11"/>
                <w:b w:val="1"/>
                <w:bCs w:val="1"/>
                <w:color w:val="auto"/>
              </w:rPr>
              <w:t>3A. Deemed</w:t>
            </w:r>
          </w:p>
        </w:tc>
        <w:tc>
          <w:tcPr>
            <w:tcW w:w="2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560" w:type="dxa"/>
            <w:vAlign w:val="bottom"/>
          </w:tcPr>
          <w:p>
            <w:pPr>
              <w:spacing w:after="0"/>
              <w:rPr>
                <w:sz w:val="14"/>
                <w:szCs w:val="14"/>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5. Number of</w:t>
            </w:r>
          </w:p>
        </w:tc>
        <w:tc>
          <w:tcPr>
            <w:tcW w:w="28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90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Execution Date,</w:t>
            </w:r>
          </w:p>
        </w:tc>
        <w:tc>
          <w:tcPr>
            <w:tcW w:w="8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7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38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Expiration Date</w:t>
            </w:r>
          </w:p>
        </w:tc>
        <w:tc>
          <w:tcPr>
            <w:tcW w:w="138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9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42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if any</w:t>
            </w:r>
          </w:p>
        </w:tc>
        <w:tc>
          <w:tcPr>
            <w:tcW w:w="8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7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138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(Month/Day/Year)</w:t>
            </w:r>
          </w:p>
        </w:tc>
        <w:tc>
          <w:tcPr>
            <w:tcW w:w="138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6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Security</w:t>
            </w:r>
          </w:p>
        </w:tc>
        <w:tc>
          <w:tcPr>
            <w:tcW w:w="9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(Month/Day/Year)</w:t>
            </w:r>
          </w:p>
        </w:tc>
        <w:tc>
          <w:tcPr>
            <w:tcW w:w="2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560" w:type="dxa"/>
            <w:vAlign w:val="bottom"/>
          </w:tcPr>
          <w:p>
            <w:pPr>
              <w:spacing w:after="0"/>
              <w:rPr>
                <w:sz w:val="10"/>
                <w:szCs w:val="10"/>
                <w:color w:val="auto"/>
              </w:rPr>
            </w:pP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Acquired (A) or</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38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6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5)</w:t>
            </w:r>
          </w:p>
        </w:tc>
        <w:tc>
          <w:tcPr>
            <w:tcW w:w="9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Disposed of (D)</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gridSpan w:val="3"/>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(Instr. 3, 4 and 5)</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142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w w:val="99"/>
              </w:rPr>
              <w:t>Reported</w:t>
            </w: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Amount or</w:t>
            </w:r>
          </w:p>
        </w:tc>
        <w:tc>
          <w:tcPr>
            <w:tcW w:w="640" w:type="dxa"/>
            <w:vAlign w:val="bottom"/>
          </w:tcPr>
          <w:p>
            <w:pPr>
              <w:spacing w:after="0"/>
              <w:rPr>
                <w:sz w:val="10"/>
                <w:szCs w:val="10"/>
                <w:color w:val="auto"/>
              </w:rPr>
            </w:pPr>
          </w:p>
        </w:tc>
        <w:tc>
          <w:tcPr>
            <w:tcW w:w="9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Date</w:t>
            </w:r>
          </w:p>
        </w:tc>
        <w:tc>
          <w:tcPr>
            <w:tcW w:w="620" w:type="dxa"/>
            <w:vAlign w:val="bottom"/>
          </w:tcPr>
          <w:p>
            <w:pPr>
              <w:jc w:val="center"/>
              <w:ind w:right="26"/>
              <w:spacing w:after="0" w:line="124" w:lineRule="exact"/>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0"/>
                <w:szCs w:val="10"/>
                <w:color w:val="auto"/>
              </w:rPr>
            </w:pPr>
          </w:p>
        </w:tc>
        <w:tc>
          <w:tcPr>
            <w:tcW w:w="7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Number of</w:t>
            </w:r>
          </w:p>
        </w:tc>
        <w:tc>
          <w:tcPr>
            <w:tcW w:w="64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Shares</w:t>
            </w: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1,079.638</w:t>
            </w:r>
            <w:r>
              <w:rPr>
                <w:rFonts w:ascii="Times New Roman" w:cs="Times New Roman" w:eastAsia="Times New Roman" w:hAnsi="Times New Roman"/>
                <w:sz w:val="20"/>
                <w:szCs w:val="20"/>
                <w:color w:val="008000"/>
                <w:vertAlign w:val="superscript"/>
              </w:rPr>
              <w:t>(2)</w:t>
            </w:r>
          </w:p>
        </w:tc>
        <w:tc>
          <w:tcPr>
            <w:tcW w:w="280" w:type="dxa"/>
            <w:vAlign w:val="bottom"/>
          </w:tcPr>
          <w:p>
            <w:pPr>
              <w:spacing w:after="0"/>
              <w:rPr>
                <w:sz w:val="15"/>
                <w:szCs w:val="15"/>
                <w:color w:val="auto"/>
              </w:rPr>
            </w:pPr>
          </w:p>
        </w:tc>
        <w:tc>
          <w:tcPr>
            <w:tcW w:w="760" w:type="dxa"/>
            <w:vAlign w:val="bottom"/>
            <w:gridSpan w:val="2"/>
            <w:vMerge w:val="restart"/>
          </w:tcPr>
          <w:p>
            <w:pPr>
              <w:jc w:val="right"/>
              <w:ind w:right="324"/>
              <w:spacing w:after="0"/>
              <w:rPr>
                <w:sz w:val="20"/>
                <w:szCs w:val="20"/>
                <w:color w:val="auto"/>
              </w:rPr>
            </w:pPr>
            <w:r>
              <w:rPr>
                <w:rFonts w:ascii="Times New Roman" w:cs="Times New Roman" w:eastAsia="Times New Roman" w:hAnsi="Times New Roman"/>
                <w:sz w:val="10"/>
                <w:szCs w:val="10"/>
                <w:color w:val="008000"/>
              </w:rPr>
              <w:t>(3)</w:t>
            </w:r>
          </w:p>
        </w:tc>
        <w:tc>
          <w:tcPr>
            <w:tcW w:w="620" w:type="dxa"/>
            <w:vAlign w:val="bottom"/>
            <w:vMerge w:val="restart"/>
          </w:tcPr>
          <w:p>
            <w:pPr>
              <w:jc w:val="center"/>
              <w:ind w:right="6"/>
              <w:spacing w:after="0"/>
              <w:rPr>
                <w:sz w:val="20"/>
                <w:szCs w:val="20"/>
                <w:color w:val="auto"/>
              </w:rPr>
            </w:pPr>
            <w:r>
              <w:rPr>
                <w:rFonts w:ascii="Times New Roman" w:cs="Times New Roman" w:eastAsia="Times New Roman" w:hAnsi="Times New Roman"/>
                <w:sz w:val="10"/>
                <w:szCs w:val="10"/>
                <w:color w:val="008000"/>
              </w:rPr>
              <w:t>(3)</w:t>
            </w: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1,079.638</w:t>
            </w:r>
          </w:p>
        </w:tc>
        <w:tc>
          <w:tcPr>
            <w:tcW w:w="20" w:type="dxa"/>
            <w:vAlign w:val="bottom"/>
          </w:tcPr>
          <w:p>
            <w:pPr>
              <w:spacing w:after="0"/>
              <w:rPr>
                <w:sz w:val="15"/>
                <w:szCs w:val="15"/>
                <w:color w:val="auto"/>
              </w:rPr>
            </w:pPr>
          </w:p>
        </w:tc>
        <w:tc>
          <w:tcPr>
            <w:tcW w:w="64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008000"/>
              </w:rPr>
              <w:t>(4)</w:t>
            </w: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Equivalent</w:t>
            </w:r>
          </w:p>
        </w:tc>
        <w:tc>
          <w:tcPr>
            <w:tcW w:w="6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right"/>
              <w:ind w:right="143"/>
              <w:spacing w:after="0" w:line="137" w:lineRule="exact"/>
              <w:rPr>
                <w:sz w:val="20"/>
                <w:szCs w:val="20"/>
                <w:color w:val="auto"/>
              </w:rPr>
            </w:pPr>
            <w:r>
              <w:rPr>
                <w:rFonts w:ascii="Times New Roman" w:cs="Times New Roman" w:eastAsia="Times New Roman" w:hAnsi="Times New Roman"/>
                <w:sz w:val="12"/>
                <w:szCs w:val="12"/>
                <w:color w:val="0000FF"/>
              </w:rPr>
              <w:t>06/30/2026</w:t>
            </w:r>
          </w:p>
        </w:tc>
        <w:tc>
          <w:tcPr>
            <w:tcW w:w="1080" w:type="dxa"/>
            <w:vAlign w:val="bottom"/>
          </w:tcPr>
          <w:p>
            <w:pPr>
              <w:spacing w:after="0"/>
              <w:rPr>
                <w:sz w:val="11"/>
                <w:szCs w:val="11"/>
                <w:color w:val="auto"/>
              </w:rPr>
            </w:pPr>
          </w:p>
        </w:tc>
        <w:tc>
          <w:tcPr>
            <w:tcW w:w="820" w:type="dxa"/>
            <w:vAlign w:val="bottom"/>
            <w:gridSpan w:val="2"/>
          </w:tcPr>
          <w:p>
            <w:pPr>
              <w:ind w:left="160"/>
              <w:spacing w:after="0" w:line="137" w:lineRule="exact"/>
              <w:rPr>
                <w:sz w:val="20"/>
                <w:szCs w:val="20"/>
                <w:color w:val="auto"/>
              </w:rPr>
            </w:pPr>
            <w:r>
              <w:rPr>
                <w:rFonts w:ascii="Times New Roman" w:cs="Times New Roman" w:eastAsia="Times New Roman" w:hAnsi="Times New Roman"/>
                <w:sz w:val="12"/>
                <w:szCs w:val="12"/>
                <w:color w:val="0000FF"/>
              </w:rPr>
              <w:t>A</w:t>
            </w:r>
          </w:p>
        </w:tc>
        <w:tc>
          <w:tcPr>
            <w:tcW w:w="7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90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14,848.092</w:t>
            </w:r>
          </w:p>
        </w:tc>
        <w:tc>
          <w:tcPr>
            <w:tcW w:w="600" w:type="dxa"/>
            <w:vAlign w:val="bottom"/>
          </w:tcPr>
          <w:p>
            <w:pPr>
              <w:ind w:left="30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ind w:left="160"/>
              <w:spacing w:after="0" w:line="124"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680" w:type="dxa"/>
            <w:vAlign w:val="bottom"/>
            <w:gridSpan w:val="3"/>
          </w:tcPr>
          <w:p>
            <w:pPr>
              <w:ind w:left="80"/>
              <w:spacing w:after="0"/>
              <w:rPr>
                <w:sz w:val="20"/>
                <w:szCs w:val="20"/>
                <w:color w:val="auto"/>
              </w:rPr>
            </w:pPr>
            <w:r>
              <w:rPr>
                <w:rFonts w:ascii="Times New Roman" w:cs="Times New Roman" w:eastAsia="Times New Roman" w:hAnsi="Times New Roman"/>
                <w:sz w:val="12"/>
                <w:szCs w:val="12"/>
                <w:color w:val="0000FF"/>
              </w:rPr>
              <w:t>12/2025</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(5)</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vMerge w:val="restart"/>
          </w:tcPr>
          <w:p>
            <w:pPr>
              <w:jc w:val="right"/>
              <w:ind w:right="324"/>
              <w:spacing w:after="0"/>
              <w:rPr>
                <w:sz w:val="20"/>
                <w:szCs w:val="20"/>
                <w:color w:val="auto"/>
              </w:rPr>
            </w:pPr>
            <w:r>
              <w:rPr>
                <w:rFonts w:ascii="Times New Roman" w:cs="Times New Roman" w:eastAsia="Times New Roman" w:hAnsi="Times New Roman"/>
                <w:sz w:val="10"/>
                <w:szCs w:val="10"/>
                <w:color w:val="008000"/>
              </w:rPr>
              <w:t>(6)</w:t>
            </w:r>
          </w:p>
        </w:tc>
        <w:tc>
          <w:tcPr>
            <w:tcW w:w="620" w:type="dxa"/>
            <w:vAlign w:val="bottom"/>
            <w:vMerge w:val="restart"/>
          </w:tcPr>
          <w:p>
            <w:pPr>
              <w:jc w:val="center"/>
              <w:ind w:right="6"/>
              <w:spacing w:after="0"/>
              <w:rPr>
                <w:sz w:val="20"/>
                <w:szCs w:val="20"/>
                <w:color w:val="auto"/>
              </w:rPr>
            </w:pPr>
            <w:r>
              <w:rPr>
                <w:rFonts w:ascii="Times New Roman" w:cs="Times New Roman" w:eastAsia="Times New Roman" w:hAnsi="Times New Roman"/>
                <w:sz w:val="10"/>
                <w:szCs w:val="10"/>
                <w:color w:val="008000"/>
              </w:rPr>
              <w:t>(6)</w:t>
            </w:r>
          </w:p>
        </w:tc>
        <w:tc>
          <w:tcPr>
            <w:tcW w:w="62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7,555.64</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3"/>
              </w:rPr>
              <w:t>7,555.64</w:t>
            </w:r>
            <w:r>
              <w:rPr>
                <w:rFonts w:ascii="Times New Roman" w:cs="Times New Roman" w:eastAsia="Times New Roman" w:hAnsi="Times New Roman"/>
                <w:sz w:val="20"/>
                <w:szCs w:val="20"/>
                <w:color w:val="008000"/>
                <w:w w:val="93"/>
                <w:vertAlign w:val="superscript"/>
              </w:rPr>
              <w:t>(7)</w:t>
            </w:r>
          </w:p>
        </w:tc>
        <w:tc>
          <w:tcPr>
            <w:tcW w:w="600" w:type="dxa"/>
            <w:vAlign w:val="bottom"/>
            <w:vMerge w:val="restart"/>
          </w:tcPr>
          <w:p>
            <w:pPr>
              <w:ind w:left="30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20" w:type="dxa"/>
            <w:vAlign w:val="bottom"/>
          </w:tcPr>
          <w:p>
            <w:pPr>
              <w:ind w:left="1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680" w:type="dxa"/>
            <w:vAlign w:val="bottom"/>
            <w:gridSpan w:val="3"/>
          </w:tcPr>
          <w:p>
            <w:pPr>
              <w:ind w:left="80"/>
              <w:spacing w:after="0"/>
              <w:rPr>
                <w:sz w:val="20"/>
                <w:szCs w:val="20"/>
                <w:color w:val="auto"/>
              </w:rPr>
            </w:pPr>
            <w:r>
              <w:rPr>
                <w:rFonts w:ascii="Times New Roman" w:cs="Times New Roman" w:eastAsia="Times New Roman" w:hAnsi="Times New Roman"/>
                <w:sz w:val="12"/>
                <w:szCs w:val="12"/>
                <w:color w:val="0000FF"/>
              </w:rPr>
              <w:t>12/2024</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(5)</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vMerge w:val="restart"/>
          </w:tcPr>
          <w:p>
            <w:pPr>
              <w:jc w:val="right"/>
              <w:ind w:right="324"/>
              <w:spacing w:after="0"/>
              <w:rPr>
                <w:sz w:val="20"/>
                <w:szCs w:val="20"/>
                <w:color w:val="auto"/>
              </w:rPr>
            </w:pPr>
            <w:r>
              <w:rPr>
                <w:rFonts w:ascii="Times New Roman" w:cs="Times New Roman" w:eastAsia="Times New Roman" w:hAnsi="Times New Roman"/>
                <w:sz w:val="10"/>
                <w:szCs w:val="10"/>
                <w:color w:val="008000"/>
              </w:rPr>
              <w:t>(6)</w:t>
            </w:r>
          </w:p>
        </w:tc>
        <w:tc>
          <w:tcPr>
            <w:tcW w:w="620" w:type="dxa"/>
            <w:vAlign w:val="bottom"/>
            <w:vMerge w:val="restart"/>
          </w:tcPr>
          <w:p>
            <w:pPr>
              <w:jc w:val="center"/>
              <w:ind w:right="6"/>
              <w:spacing w:after="0"/>
              <w:rPr>
                <w:sz w:val="20"/>
                <w:szCs w:val="20"/>
                <w:color w:val="auto"/>
              </w:rPr>
            </w:pPr>
            <w:r>
              <w:rPr>
                <w:rFonts w:ascii="Times New Roman" w:cs="Times New Roman" w:eastAsia="Times New Roman" w:hAnsi="Times New Roman"/>
                <w:sz w:val="10"/>
                <w:szCs w:val="10"/>
                <w:color w:val="008000"/>
              </w:rPr>
              <w:t>(6)</w:t>
            </w:r>
          </w:p>
        </w:tc>
        <w:tc>
          <w:tcPr>
            <w:tcW w:w="62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6,323.65</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3"/>
              </w:rPr>
              <w:t>6,323.65</w:t>
            </w:r>
            <w:r>
              <w:rPr>
                <w:rFonts w:ascii="Times New Roman" w:cs="Times New Roman" w:eastAsia="Times New Roman" w:hAnsi="Times New Roman"/>
                <w:sz w:val="20"/>
                <w:szCs w:val="20"/>
                <w:color w:val="008000"/>
                <w:w w:val="93"/>
                <w:vertAlign w:val="superscript"/>
              </w:rPr>
              <w:t>(7)</w:t>
            </w:r>
          </w:p>
        </w:tc>
        <w:tc>
          <w:tcPr>
            <w:tcW w:w="600" w:type="dxa"/>
            <w:vAlign w:val="bottom"/>
            <w:vMerge w:val="restart"/>
          </w:tcPr>
          <w:p>
            <w:pPr>
              <w:ind w:left="30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20" w:type="dxa"/>
            <w:vAlign w:val="bottom"/>
          </w:tcPr>
          <w:p>
            <w:pPr>
              <w:ind w:left="1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680" w:type="dxa"/>
            <w:vAlign w:val="bottom"/>
            <w:gridSpan w:val="3"/>
          </w:tcPr>
          <w:p>
            <w:pPr>
              <w:ind w:left="80"/>
              <w:spacing w:after="0"/>
              <w:rPr>
                <w:sz w:val="20"/>
                <w:szCs w:val="20"/>
                <w:color w:val="auto"/>
              </w:rPr>
            </w:pPr>
            <w:r>
              <w:rPr>
                <w:rFonts w:ascii="Times New Roman" w:cs="Times New Roman" w:eastAsia="Times New Roman" w:hAnsi="Times New Roman"/>
                <w:sz w:val="12"/>
                <w:szCs w:val="12"/>
                <w:color w:val="0000FF"/>
              </w:rPr>
              <w:t>12/2023</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(5)</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vMerge w:val="restart"/>
          </w:tcPr>
          <w:p>
            <w:pPr>
              <w:jc w:val="right"/>
              <w:ind w:right="324"/>
              <w:spacing w:after="0"/>
              <w:rPr>
                <w:sz w:val="20"/>
                <w:szCs w:val="20"/>
                <w:color w:val="auto"/>
              </w:rPr>
            </w:pPr>
            <w:r>
              <w:rPr>
                <w:rFonts w:ascii="Times New Roman" w:cs="Times New Roman" w:eastAsia="Times New Roman" w:hAnsi="Times New Roman"/>
                <w:sz w:val="10"/>
                <w:szCs w:val="10"/>
                <w:color w:val="008000"/>
              </w:rPr>
              <w:t>(6)</w:t>
            </w:r>
          </w:p>
        </w:tc>
        <w:tc>
          <w:tcPr>
            <w:tcW w:w="620" w:type="dxa"/>
            <w:vAlign w:val="bottom"/>
            <w:vMerge w:val="restart"/>
          </w:tcPr>
          <w:p>
            <w:pPr>
              <w:jc w:val="center"/>
              <w:ind w:right="6"/>
              <w:spacing w:after="0"/>
              <w:rPr>
                <w:sz w:val="20"/>
                <w:szCs w:val="20"/>
                <w:color w:val="auto"/>
              </w:rPr>
            </w:pPr>
            <w:r>
              <w:rPr>
                <w:rFonts w:ascii="Times New Roman" w:cs="Times New Roman" w:eastAsia="Times New Roman" w:hAnsi="Times New Roman"/>
                <w:sz w:val="10"/>
                <w:szCs w:val="10"/>
                <w:color w:val="008000"/>
              </w:rPr>
              <w:t>(6)</w:t>
            </w:r>
          </w:p>
        </w:tc>
        <w:tc>
          <w:tcPr>
            <w:tcW w:w="62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5,118.62</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3"/>
              </w:rPr>
              <w:t>5,118.62</w:t>
            </w:r>
            <w:r>
              <w:rPr>
                <w:rFonts w:ascii="Times New Roman" w:cs="Times New Roman" w:eastAsia="Times New Roman" w:hAnsi="Times New Roman"/>
                <w:sz w:val="20"/>
                <w:szCs w:val="20"/>
                <w:color w:val="008000"/>
                <w:w w:val="93"/>
                <w:vertAlign w:val="superscript"/>
              </w:rPr>
              <w:t>(7)</w:t>
            </w:r>
          </w:p>
        </w:tc>
        <w:tc>
          <w:tcPr>
            <w:tcW w:w="600" w:type="dxa"/>
            <w:vAlign w:val="bottom"/>
            <w:vMerge w:val="restart"/>
          </w:tcPr>
          <w:p>
            <w:pPr>
              <w:ind w:left="30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20" w:type="dxa"/>
            <w:vAlign w:val="bottom"/>
          </w:tcPr>
          <w:p>
            <w:pPr>
              <w:ind w:left="1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680" w:type="dxa"/>
            <w:vAlign w:val="bottom"/>
            <w:gridSpan w:val="3"/>
          </w:tcPr>
          <w:p>
            <w:pPr>
              <w:ind w:left="80"/>
              <w:spacing w:after="0"/>
              <w:rPr>
                <w:sz w:val="20"/>
                <w:szCs w:val="20"/>
                <w:color w:val="auto"/>
              </w:rPr>
            </w:pPr>
            <w:r>
              <w:rPr>
                <w:rFonts w:ascii="Times New Roman" w:cs="Times New Roman" w:eastAsia="Times New Roman" w:hAnsi="Times New Roman"/>
                <w:sz w:val="12"/>
                <w:szCs w:val="12"/>
                <w:color w:val="0000FF"/>
              </w:rPr>
              <w:t>03/2023</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(5)</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vMerge w:val="restart"/>
          </w:tcPr>
          <w:p>
            <w:pPr>
              <w:jc w:val="right"/>
              <w:ind w:right="324"/>
              <w:spacing w:after="0"/>
              <w:rPr>
                <w:sz w:val="20"/>
                <w:szCs w:val="20"/>
                <w:color w:val="auto"/>
              </w:rPr>
            </w:pPr>
            <w:r>
              <w:rPr>
                <w:rFonts w:ascii="Times New Roman" w:cs="Times New Roman" w:eastAsia="Times New Roman" w:hAnsi="Times New Roman"/>
                <w:sz w:val="10"/>
                <w:szCs w:val="10"/>
                <w:color w:val="008000"/>
              </w:rPr>
              <w:t>(6)</w:t>
            </w:r>
          </w:p>
        </w:tc>
        <w:tc>
          <w:tcPr>
            <w:tcW w:w="620" w:type="dxa"/>
            <w:vAlign w:val="bottom"/>
            <w:vMerge w:val="restart"/>
          </w:tcPr>
          <w:p>
            <w:pPr>
              <w:jc w:val="center"/>
              <w:ind w:right="6"/>
              <w:spacing w:after="0"/>
              <w:rPr>
                <w:sz w:val="20"/>
                <w:szCs w:val="20"/>
                <w:color w:val="auto"/>
              </w:rPr>
            </w:pPr>
            <w:r>
              <w:rPr>
                <w:rFonts w:ascii="Times New Roman" w:cs="Times New Roman" w:eastAsia="Times New Roman" w:hAnsi="Times New Roman"/>
                <w:sz w:val="10"/>
                <w:szCs w:val="10"/>
                <w:color w:val="008000"/>
              </w:rPr>
              <w:t>(6)</w:t>
            </w:r>
          </w:p>
        </w:tc>
        <w:tc>
          <w:tcPr>
            <w:tcW w:w="62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4,090.9</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6"/>
              </w:rPr>
              <w:t>4,090.9</w:t>
            </w:r>
            <w:r>
              <w:rPr>
                <w:rFonts w:ascii="Times New Roman" w:cs="Times New Roman" w:eastAsia="Times New Roman" w:hAnsi="Times New Roman"/>
                <w:sz w:val="20"/>
                <w:szCs w:val="20"/>
                <w:color w:val="008000"/>
                <w:w w:val="96"/>
                <w:vertAlign w:val="superscript"/>
              </w:rPr>
              <w:t>(7)</w:t>
            </w:r>
          </w:p>
        </w:tc>
        <w:tc>
          <w:tcPr>
            <w:tcW w:w="600" w:type="dxa"/>
            <w:vAlign w:val="bottom"/>
            <w:vMerge w:val="restart"/>
          </w:tcPr>
          <w:p>
            <w:pPr>
              <w:ind w:left="30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62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2"/>
          <w:szCs w:val="12"/>
          <w:color w:val="0000FF"/>
        </w:rPr>
        <w:t>Units</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7" w:lineRule="exact"/>
        <w:rPr>
          <w:sz w:val="24"/>
          <w:szCs w:val="24"/>
          <w:color w:val="auto"/>
        </w:rPr>
      </w:pPr>
    </w:p>
    <w:p>
      <w:pPr>
        <w:ind w:left="160" w:hanging="124"/>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security converts to common stock on a one-for-one basis.</w:t>
      </w:r>
    </w:p>
    <w:p>
      <w:pPr>
        <w:spacing w:after="0" w:line="47"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Stock equivalents acquired under the Halliburton Company Directors' Deferred Compensation Plan reported on a pro-rata basis to reflect Issuer's Plan period. Said Plan is an ongoing securities acquisition plan.</w:t>
      </w:r>
    </w:p>
    <w:p>
      <w:pPr>
        <w:spacing w:after="0" w:line="47"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stock equivalent units were accrued under the Company's Directors' Deferred Compensation Plan and are settled in the Company's common stock following cessation as a director.</w:t>
      </w:r>
    </w:p>
    <w:p>
      <w:pPr>
        <w:spacing w:after="0" w:line="47" w:lineRule="exact"/>
        <w:rPr>
          <w:rFonts w:ascii="Times New Roman" w:cs="Times New Roman" w:eastAsia="Times New Roman" w:hAnsi="Times New Roman"/>
          <w:sz w:val="12"/>
          <w:szCs w:val="12"/>
          <w:color w:val="008000"/>
        </w:rPr>
      </w:pPr>
    </w:p>
    <w:p>
      <w:pPr>
        <w:ind w:left="40" w:right="400" w:hanging="4"/>
        <w:spacing w:after="0" w:line="275"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 portion of the stock equivalents are attributable to dividends and a portion are attributable to quarterly fees and are based on the closing price on March 25, 2026 of $38.63, June 24, 2026 of $33.90, and June 29, 2026 of $34.09.</w:t>
      </w:r>
    </w:p>
    <w:p>
      <w:pPr>
        <w:spacing w:after="0" w:line="5"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restricted stock unit represents a right to receive one share of the Company common stock.</w:t>
      </w:r>
    </w:p>
    <w:p>
      <w:pPr>
        <w:spacing w:after="0" w:line="47" w:lineRule="exact"/>
        <w:rPr>
          <w:rFonts w:ascii="Times New Roman" w:cs="Times New Roman" w:eastAsia="Times New Roman" w:hAnsi="Times New Roman"/>
          <w:sz w:val="12"/>
          <w:szCs w:val="12"/>
          <w:color w:val="008000"/>
        </w:rPr>
      </w:pPr>
    </w:p>
    <w:p>
      <w:pPr>
        <w:ind w:left="40" w:right="220" w:hanging="4"/>
        <w:spacing w:after="0" w:line="275"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restricted stock units vest in one year on the first anniversary of the award. Shares will be delivered to the reporting person either upon vesting, or if reporting person elected to defer receipt, following cessation as a director.</w:t>
      </w:r>
    </w:p>
    <w:p>
      <w:pPr>
        <w:spacing w:after="0" w:line="5"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Includes stock equivalent units through June 30, 2026.</w:t>
      </w:r>
    </w:p>
    <w:p>
      <w:pPr>
        <w:sectPr>
          <w:pgSz w:w="11900" w:h="16838" w:orient="portrait"/>
          <w:cols w:equalWidth="0" w:num="1">
            <w:col w:w="11080"/>
          </w:cols>
          <w:pgMar w:left="460" w:top="213" w:right="359" w:bottom="1007" w:gutter="0" w:footer="0" w:header="0"/>
          <w:type w:val="continuous"/>
        </w:sectPr>
      </w:pPr>
    </w:p>
    <w:p>
      <w:pPr>
        <w:spacing w:after="0" w:line="47"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5"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5"/>
          <w:szCs w:val="15"/>
          <w:color w:val="0000FF"/>
        </w:rPr>
        <w:t>/s/ Sarah I. Rubenfeld, by Power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4185285</wp:posOffset>
            </wp:positionH>
            <wp:positionV relativeFrom="paragraph">
              <wp:posOffset>635</wp:posOffset>
            </wp:positionV>
            <wp:extent cx="132969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9690" cy="7620"/>
                    </a:xfrm>
                    <a:prstGeom prst="rect">
                      <a:avLst/>
                    </a:prstGeom>
                    <a:noFill/>
                  </pic:spPr>
                </pic:pic>
              </a:graphicData>
            </a:graphic>
          </wp:anchor>
        </w:drawing>
      </w:r>
    </w:p>
    <w:p>
      <w:pPr>
        <w:spacing w:after="0" w:line="17"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4185285</wp:posOffset>
            </wp:positionH>
            <wp:positionV relativeFrom="paragraph">
              <wp:posOffset>-13335</wp:posOffset>
            </wp:positionV>
            <wp:extent cx="47371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3710" cy="7620"/>
                    </a:xfrm>
                    <a:prstGeom prst="rect">
                      <a:avLst/>
                    </a:prstGeom>
                    <a:noFill/>
                  </pic:spPr>
                </pic:pic>
              </a:graphicData>
            </a:graphic>
          </wp:anchor>
        </w:drawing>
      </w:r>
    </w:p>
    <w:p>
      <w:pPr>
        <w:spacing w:after="0" w:line="32" w:lineRule="exact"/>
        <w:rPr>
          <w:sz w:val="24"/>
          <w:szCs w:val="24"/>
          <w:color w:val="auto"/>
        </w:rPr>
      </w:pPr>
    </w:p>
    <w:p>
      <w:pPr>
        <w:ind w:left="6600"/>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6"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0000FF"/>
        </w:rPr>
        <w:t>06/30/2026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635</wp:posOffset>
            </wp:positionV>
            <wp:extent cx="46482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64820" cy="7620"/>
                    </a:xfrm>
                    <a:prstGeom prst="rect">
                      <a:avLst/>
                    </a:prstGeom>
                    <a:noFill/>
                  </pic:spPr>
                </pic:pic>
              </a:graphicData>
            </a:graphic>
          </wp:anchor>
        </w:drawing>
      </w:r>
    </w:p>
    <w:p>
      <w:pPr>
        <w:spacing w:after="0" w:line="154" w:lineRule="exact"/>
        <w:rPr>
          <w:sz w:val="24"/>
          <w:szCs w:val="24"/>
          <w:color w:val="auto"/>
        </w:rPr>
      </w:pPr>
    </w:p>
    <w:p>
      <w:pPr>
        <w:spacing w:after="0"/>
        <w:rPr>
          <w:sz w:val="20"/>
          <w:szCs w:val="20"/>
          <w:color w:val="auto"/>
        </w:rPr>
      </w:pPr>
      <w:r>
        <w:rPr>
          <w:rFonts w:ascii="Arial" w:cs="Arial" w:eastAsia="Arial" w:hAnsi="Arial"/>
          <w:sz w:val="12"/>
          <w:szCs w:val="12"/>
          <w:color w:val="auto"/>
        </w:rPr>
        <w:t>Date</w:t>
      </w:r>
    </w:p>
    <w:p>
      <w:pPr>
        <w:spacing w:after="0" w:line="48" w:lineRule="exact"/>
        <w:rPr>
          <w:sz w:val="24"/>
          <w:szCs w:val="24"/>
          <w:color w:val="auto"/>
        </w:rPr>
      </w:pPr>
    </w:p>
    <w:p>
      <w:pPr>
        <w:sectPr>
          <w:pgSz w:w="11900" w:h="16838" w:orient="portrait"/>
          <w:cols w:equalWidth="0" w:num="2">
            <w:col w:w="8680" w:space="120"/>
            <w:col w:w="2280"/>
          </w:cols>
          <w:pgMar w:left="460" w:top="213" w:right="359" w:bottom="1007" w:gutter="0" w:footer="0" w:header="0"/>
          <w:type w:val="continuous"/>
        </w:sect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4"/>
          <w:szCs w:val="24"/>
          <w:color w:val="auto"/>
        </w:rPr>
      </w:pPr>
    </w:p>
    <w:p>
      <w:pPr>
        <w:jc w:val="both"/>
        <w:ind w:left="40" w:right="3900" w:hanging="4"/>
        <w:spacing w:after="0" w:line="322" w:lineRule="auto"/>
        <w:tabs>
          <w:tab w:leader="none" w:pos="171"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3" w:right="359" w:bottom="100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41752" TargetMode="External"/><Relationship Id="rId14" Type="http://schemas.openxmlformats.org/officeDocument/2006/relationships/hyperlink" Target="http://www.sec.gov/cgi-bin/browse-edgar?action=getcompany&amp;CIK=00000450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2026-06-30T13:55:52Z</dcterms:created>
  <dcterms:modified xsi:type="dcterms:W3CDTF">2026-06-30T13:55:52Z</dcterms:modified>
</cp:coreProperties>
</file>